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9D" w:rsidRDefault="00034F6D">
      <w:pPr>
        <w:jc w:val="both"/>
      </w:pPr>
      <w:bookmarkStart w:id="0" w:name="_GoBack"/>
      <w:bookmarkEnd w:id="0"/>
      <w:r>
        <w:rPr>
          <w:sz w:val="26"/>
        </w:rPr>
        <w:softHyphen/>
        <w:t>JAN KOWALSKI</w:t>
      </w:r>
      <w:r>
        <w:rPr>
          <w:sz w:val="26"/>
          <w:vertAlign w:val="superscript"/>
        </w:rPr>
        <w:t>a,</w:t>
      </w:r>
      <w:r>
        <w:rPr>
          <w:rStyle w:val="Zakotwiczenieprzypisudolnego"/>
          <w:rFonts w:ascii="Symbol" w:eastAsia="Symbol" w:hAnsi="Symbol" w:cs="Symbol"/>
          <w:sz w:val="26"/>
          <w:szCs w:val="26"/>
        </w:rPr>
        <w:footnoteReference w:id="1"/>
      </w:r>
      <w:r>
        <w:rPr>
          <w:rStyle w:val="Zakotwiczenieprzypisudolnego"/>
          <w:rFonts w:ascii="Symbol" w:eastAsia="Symbol" w:hAnsi="Symbol" w:cs="Symbol"/>
          <w:sz w:val="26"/>
          <w:szCs w:val="26"/>
        </w:rPr>
        <w:t></w:t>
      </w:r>
      <w:r>
        <w:rPr>
          <w:rFonts w:eastAsia="Symbol" w:cs="Symbol"/>
          <w:sz w:val="26"/>
        </w:rPr>
        <w:t>, ANNA NOWAK</w:t>
      </w:r>
      <w:r>
        <w:rPr>
          <w:rFonts w:eastAsia="Symbol" w:cs="Symbol"/>
          <w:sz w:val="26"/>
          <w:vertAlign w:val="superscript"/>
        </w:rPr>
        <w:t>a</w:t>
      </w:r>
      <w:r>
        <w:rPr>
          <w:rFonts w:eastAsia="Symbol" w:cs="Symbol"/>
          <w:sz w:val="26"/>
        </w:rPr>
        <w:t>, ADAM ZIELIŃSKI</w:t>
      </w:r>
      <w:r>
        <w:rPr>
          <w:rFonts w:eastAsia="Symbol" w:cs="Symbol"/>
          <w:sz w:val="26"/>
          <w:vertAlign w:val="superscript"/>
        </w:rPr>
        <w:t>b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-97790</wp:posOffset>
                </wp:positionV>
                <wp:extent cx="800100" cy="45720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r>
                              <w:t>Duże litery, 13 pkt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1in;margin-top:-7.7pt;width:63pt;height:36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" stroked="f">
                <v:fill opacity="0"/>
                <v:textbox inset="7.25pt,3.65pt,7.25pt,3.65pt">
                  <w:txbxContent>
                    <w:p w:rsidR="006A4F9D" w:rsidRDefault="00034F6D">
                      <w:r>
                        <w:t>Duże litery, 13 pkt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169545</wp:posOffset>
                </wp:positionV>
                <wp:extent cx="800100" cy="457200"/>
                <wp:effectExtent l="0" t="0" r="0" b="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r>
                              <w:t>Pogrubione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-1in;margin-top:13.35pt;width:63pt;height:36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" stroked="f">
                <v:fill opacity="0"/>
                <v:textbox inset="7.25pt,3.65pt,7.25pt,3.65pt">
                  <w:txbxContent>
                    <w:p w:rsidR="006A4F9D" w:rsidRDefault="00034F6D">
                      <w:r>
                        <w:t>Pogrubione</w:t>
                      </w:r>
                    </w:p>
                  </w:txbxContent>
                </v:textbox>
              </v:shape>
            </w:pict>
          </mc:Fallback>
        </mc:AlternateContent>
      </w:r>
    </w:p>
    <w:p w:rsidR="006A4F9D" w:rsidRDefault="00034F6D">
      <w:pPr>
        <w:jc w:val="both"/>
        <w:rPr>
          <w:b/>
          <w:sz w:val="26"/>
        </w:rPr>
      </w:pPr>
      <w:r>
        <w:rPr>
          <w:rFonts w:eastAsia="Symbol" w:cs="Symbol"/>
          <w:b/>
          <w:sz w:val="26"/>
          <w:vertAlign w:val="superscript"/>
        </w:rPr>
        <w:t>a</w:t>
      </w:r>
      <w:r>
        <w:rPr>
          <w:rFonts w:eastAsia="Symbol" w:cs="Symbol"/>
          <w:b/>
          <w:sz w:val="26"/>
        </w:rPr>
        <w:t xml:space="preserve">Instytut Inżynierii Chemicznej PAN, Gliwice; </w:t>
      </w:r>
      <w:r>
        <w:rPr>
          <w:rFonts w:eastAsia="Symbol" w:cs="Symbol"/>
          <w:b/>
          <w:sz w:val="26"/>
          <w:vertAlign w:val="superscript"/>
        </w:rPr>
        <w:t>b</w:t>
      </w:r>
      <w:r>
        <w:rPr>
          <w:rFonts w:eastAsia="Symbol" w:cs="Symbol"/>
          <w:b/>
          <w:sz w:val="26"/>
        </w:rPr>
        <w:t>Politechnika Wrocławska</w:t>
      </w:r>
    </w:p>
    <w:p w:rsidR="006A4F9D" w:rsidRDefault="006A4F9D">
      <w:pPr>
        <w:jc w:val="both"/>
        <w:rPr>
          <w:rFonts w:eastAsia="Symbol" w:cs="Symbol"/>
          <w:b/>
          <w:sz w:val="26"/>
        </w:rPr>
      </w:pPr>
    </w:p>
    <w:p w:rsidR="006A4F9D" w:rsidRDefault="00034F6D">
      <w:pPr>
        <w:pStyle w:val="Tekstpodstawowy2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  <w:t>The use of flotation waste for desulfurization of flue gases by the spray-dry method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20320</wp:posOffset>
                </wp:positionV>
                <wp:extent cx="685800" cy="342900"/>
                <wp:effectExtent l="0" t="0" r="0" b="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r>
                              <w:t>Italic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left:0;text-align:left;margin-left:-63pt;margin-top:1.6pt;width:54pt;height:27pt;z-index:2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" stroked="f">
                <v:fill opacity="0"/>
                <v:textbox inset="7.25pt,3.65pt,7.25pt,3.65pt">
                  <w:txbxContent>
                    <w:p w:rsidR="006A4F9D" w:rsidRDefault="00034F6D">
                      <w:r>
                        <w:t>Italic</w:t>
                      </w:r>
                    </w:p>
                  </w:txbxContent>
                </v:textbox>
              </v:shape>
            </w:pict>
          </mc:Fallback>
        </mc:AlternateContent>
      </w:r>
    </w:p>
    <w:p w:rsidR="006A4F9D" w:rsidRDefault="00034F6D">
      <w:pPr>
        <w:jc w:val="both"/>
        <w:rPr>
          <w:rFonts w:eastAsia="Symbol" w:cs="Symbol"/>
          <w:b/>
          <w:sz w:val="26"/>
        </w:rPr>
      </w:pPr>
      <w:r>
        <w:rPr>
          <w:rFonts w:eastAsia="Symbol" w:cs="Symbol"/>
          <w:b/>
          <w:sz w:val="26"/>
        </w:rPr>
        <w:t>Wykorzystanie odpadów flotacyjnych do odsiarczania gazów metodą półsuchą</w:t>
      </w:r>
    </w:p>
    <w:p w:rsidR="006A4F9D" w:rsidRDefault="006A4F9D">
      <w:pPr>
        <w:jc w:val="both"/>
        <w:rPr>
          <w:rFonts w:eastAsia="Symbol" w:cs="Symbol"/>
          <w:b/>
          <w:sz w:val="26"/>
        </w:rPr>
      </w:pPr>
    </w:p>
    <w:p w:rsidR="006A4F9D" w:rsidRDefault="00034F6D">
      <w:pPr>
        <w:rPr>
          <w:b/>
          <w:sz w:val="26"/>
          <w:lang w:val="en-US"/>
        </w:rPr>
      </w:pPr>
      <w:r>
        <w:rPr>
          <w:rFonts w:eastAsia="Symbol" w:cs="Symbol"/>
          <w:b/>
          <w:sz w:val="26"/>
          <w:lang w:val="en-US"/>
        </w:rPr>
        <w:t xml:space="preserve">DOI: </w:t>
      </w:r>
      <w:r>
        <w:rPr>
          <w:rFonts w:eastAsia="Symbol" w:cs="Symbol"/>
          <w:i/>
          <w:sz w:val="26"/>
          <w:lang w:val="en-US"/>
        </w:rPr>
        <w:t>10.15199/62.2015.X.Y</w:t>
      </w:r>
    </w:p>
    <w:p w:rsidR="006A4F9D" w:rsidRDefault="006A4F9D">
      <w:pPr>
        <w:jc w:val="both"/>
        <w:rPr>
          <w:rFonts w:eastAsia="Symbol" w:cs="Symbol"/>
          <w:b/>
          <w:sz w:val="26"/>
          <w:lang w:val="en-US"/>
        </w:rPr>
      </w:pPr>
    </w:p>
    <w:p w:rsidR="006A4F9D" w:rsidRDefault="00034F6D">
      <w:pPr>
        <w:jc w:val="both"/>
        <w:rPr>
          <w:rFonts w:eastAsia="Symbol" w:cs="Symbol"/>
        </w:rPr>
      </w:pPr>
      <w:r>
        <w:rPr>
          <w:rFonts w:eastAsia="Symbol" w:cs="Symbol"/>
          <w:i/>
          <w:sz w:val="26"/>
          <w:lang w:val="en-US"/>
        </w:rPr>
        <w:t>Flotation wastes precalcined in air with (i) increased or (ii) not increased H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>O content in oven gases, to contain (CaO+MgO) ~87% (H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>O-leachable CaO and MgO 38.9 and 35%, resp.) and, for comparison, (iii) a min. 92% CaO and max. 2.5% MgO-contg. quicklime, 35.9, 31.9 and 17.8 μm in av. diam., resp., were used to prep. (1:2 w/w) suspensions in H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>O. These mixed 40 min at 80°C and sieved (0.1-mm), were used, 1:1−1:2.5 kg sorbent/kg SO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>, to sorb SO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 xml:space="preserve"> from SO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>-contg flue gases (500−1000 ppm), 190 m</w:t>
      </w:r>
      <w:r>
        <w:rPr>
          <w:rFonts w:eastAsia="Symbol" w:cs="Symbol"/>
          <w:i/>
          <w:sz w:val="26"/>
          <w:vertAlign w:val="superscript"/>
          <w:lang w:val="en-US"/>
        </w:rPr>
        <w:t>3</w:t>
      </w:r>
      <w:r>
        <w:rPr>
          <w:rFonts w:eastAsia="Symbol" w:cs="Symbol"/>
          <w:i/>
          <w:sz w:val="26"/>
          <w:lang w:val="en-US"/>
        </w:rPr>
        <w:t>(S.T.P.)/h, 130°C, R.H. 0.48 kg H</w:t>
      </w:r>
      <w:r>
        <w:rPr>
          <w:rFonts w:eastAsia="Symbol" w:cs="Symbol"/>
          <w:i/>
          <w:sz w:val="26"/>
          <w:vertAlign w:val="subscript"/>
          <w:lang w:val="en-US"/>
        </w:rPr>
        <w:t>2</w:t>
      </w:r>
      <w:r>
        <w:rPr>
          <w:rFonts w:eastAsia="Symbol" w:cs="Symbol"/>
          <w:i/>
          <w:sz w:val="26"/>
          <w:lang w:val="en-US"/>
        </w:rPr>
        <w:t>O/kg dry flue, by the spray-dry technique in a pilot plant. Suspensions (i) and (ii) were ~20% less effective than (iii). But the contact time was shorter, 2 s vs. the reported 6−16 s. Twice as much of (i) or (ii) would allow to achieve the efficiency of (iii). Low-SO</w:t>
      </w:r>
      <w:r>
        <w:rPr>
          <w:rFonts w:eastAsia="Symbol" w:cs="Symbol"/>
          <w:i/>
          <w:sz w:val="26"/>
          <w:vertAlign w:val="subscript"/>
          <w:lang w:val="en-US"/>
        </w:rPr>
        <w:t xml:space="preserve">2 </w:t>
      </w:r>
      <w:r>
        <w:rPr>
          <w:rFonts w:eastAsia="Symbol" w:cs="Symbol"/>
          <w:i/>
          <w:sz w:val="26"/>
          <w:lang w:val="en-US"/>
        </w:rPr>
        <w:t>flue gases could thus be desulfurized at high temperatures with no recycle of partially converted sorbent.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64770</wp:posOffset>
                </wp:positionV>
                <wp:extent cx="1028700" cy="1028700"/>
                <wp:effectExtent l="0" t="0" r="0" b="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r>
                              <w:t>Streszczenie angielskie wg. wymogów Chemical Abstract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left:0;text-align:left;margin-left:-81pt;margin-top:5.1pt;width:81pt;height:81pt;z-index: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" stroked="f">
                <v:fill opacity="0"/>
                <v:textbox inset="7.25pt,3.65pt,7.25pt,3.65pt">
                  <w:txbxContent>
                    <w:p w:rsidR="006A4F9D" w:rsidRDefault="00034F6D">
                      <w:r>
                        <w:t>Streszczeni</w:t>
                      </w:r>
                      <w:r>
                        <w:t>e angielskie wg. wymogów Chemical Abstract</w:t>
                      </w:r>
                    </w:p>
                  </w:txbxContent>
                </v:textbox>
              </v:shape>
            </w:pict>
          </mc:Fallback>
        </mc:AlternateContent>
      </w:r>
    </w:p>
    <w:p w:rsidR="006A4F9D" w:rsidRDefault="006A4F9D">
      <w:pPr>
        <w:jc w:val="both"/>
        <w:rPr>
          <w:rFonts w:eastAsia="Symbol" w:cs="Symbol"/>
          <w:i/>
          <w:sz w:val="26"/>
          <w:lang w:val="en-US"/>
        </w:rPr>
      </w:pPr>
    </w:p>
    <w:p w:rsidR="006A4F9D" w:rsidRDefault="00034F6D">
      <w:pPr>
        <w:jc w:val="both"/>
        <w:rPr>
          <w:b/>
          <w:sz w:val="26"/>
        </w:rPr>
      </w:pPr>
      <w:r>
        <w:rPr>
          <w:rFonts w:eastAsia="Symbol" w:cs="Symbol"/>
          <w:sz w:val="26"/>
        </w:rPr>
        <w:t>Przedstawiono wyniki badań doświadczalnych procesu odsiarczania spalin metodą półsuchą, przebiegającego z wykorzystaniem zawiesin sporządzonych ze specjalnie przygotowanych odpadów flotacyjnych i wapna palonego. Stwierdzono, że odpady flotacyjne mogą stanowić substytut klasycznych sorbentów stosowanych do usuwania SO</w:t>
      </w:r>
      <w:r>
        <w:rPr>
          <w:rFonts w:eastAsia="Symbol" w:cs="Symbol"/>
          <w:sz w:val="26"/>
          <w:vertAlign w:val="subscript"/>
        </w:rPr>
        <w:t>2</w:t>
      </w:r>
      <w:r>
        <w:rPr>
          <w:rFonts w:eastAsia="Symbol" w:cs="Symbol"/>
          <w:sz w:val="26"/>
        </w:rPr>
        <w:t xml:space="preserve"> z gazów tą metodą. Na podstawie wyników badań doświadczalnych sformułowano warunki zastosowania odpadów flotacyjnych do odsiarczania spalin.</w:t>
      </w:r>
    </w:p>
    <w:p w:rsidR="006A4F9D" w:rsidRDefault="006A4F9D">
      <w:pPr>
        <w:jc w:val="both"/>
        <w:rPr>
          <w:rFonts w:eastAsia="Symbol" w:cs="Symbol"/>
          <w:b/>
          <w:sz w:val="26"/>
        </w:rPr>
      </w:pPr>
    </w:p>
    <w:p w:rsidR="006A4F9D" w:rsidRDefault="00034F6D">
      <w:pPr>
        <w:ind w:firstLine="708"/>
        <w:jc w:val="both"/>
        <w:rPr>
          <w:rFonts w:eastAsia="Symbol" w:cs="Symbol"/>
        </w:rPr>
      </w:pPr>
      <w:r>
        <w:rPr>
          <w:rFonts w:eastAsia="Symbol" w:cs="Symbol"/>
          <w:sz w:val="26"/>
        </w:rPr>
        <w:t>W wyniku wieloletniej działalności zakładów przeróbczych rud cynkowo-ołowiowych zostało nagromadzonych w środowisku naturalnym, w formie składowisk powierzchniowych, wiele milionów ton odpadów flotacyjnych. Odpady te składają się głównie z dolomitu, minerałów siarczkowych i tlenkowych cynku, ołowiu i żelaza, kalcytu, krzemionki, gipsu oraz minerałów ilastych. Procentowy udział poszczególnych składników w odpadzie zależy oczywiście od rejonu wydobywczego rud, niemniej jednak największy udział (od ok. 50% do ponad 80%) ma dolomit</w:t>
      </w:r>
      <w:r>
        <w:rPr>
          <w:rFonts w:eastAsia="Symbol" w:cs="Symbol"/>
          <w:sz w:val="26"/>
          <w:vertAlign w:val="superscript"/>
        </w:rPr>
        <w:t>1, 2)</w:t>
      </w:r>
      <w:r>
        <w:rPr>
          <w:rFonts w:eastAsia="Symbol" w:cs="Symbol"/>
          <w:sz w:val="26"/>
        </w:rPr>
        <w:t>. Z tego względu dolomitowe odpady flotacyjne mogą stanowić źródło sorbentu w technologiach odsiarczania spalin, opartych na wykorzystaniu związków wapnia do wiązania ditlenku siarki.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13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73025</wp:posOffset>
                </wp:positionV>
                <wp:extent cx="800100" cy="571500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r>
                              <w:t>Wprowadzenie bez tytułu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5" o:spid="_x0000_s1030" type="#_x0000_t202" style="position:absolute;left:0;text-align:left;margin-left:-1in;margin-top:5.75pt;width:63pt;height:45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" stroked="f">
                <v:fill opacity="0"/>
                <v:textbox inset="7.25pt,3.65pt,7.25pt,3.65pt">
                  <w:txbxContent>
                    <w:p w:rsidR="006A4F9D" w:rsidRDefault="00034F6D">
                      <w:r>
                        <w:t>Wprowadzenie bez tytułu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1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1330325</wp:posOffset>
                </wp:positionV>
                <wp:extent cx="1028700" cy="1028700"/>
                <wp:effectExtent l="0" t="0" r="0" b="0"/>
                <wp:wrapNone/>
                <wp:docPr id="6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r>
                              <w:t xml:space="preserve">Odnośniki literaturowe jako indeksy górne z nawiasem 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6" o:spid="_x0000_s1031" type="#_x0000_t202" style="position:absolute;left:0;text-align:left;margin-left:-81pt;margin-top:104.75pt;width:81pt;height:81pt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" stroked="f">
                <v:fill opacity="0"/>
                <v:textbox inset="7.25pt,3.65pt,7.25pt,3.65pt">
                  <w:txbxContent>
                    <w:p w:rsidR="006A4F9D" w:rsidRDefault="00034F6D">
                      <w:r>
                        <w:t xml:space="preserve">Odnośniki literaturowe jako indeksy górne z nawiasem </w:t>
                      </w:r>
                    </w:p>
                  </w:txbxContent>
                </v:textbox>
              </v:shape>
            </w:pict>
          </mc:Fallback>
        </mc:AlternateContent>
      </w:r>
    </w:p>
    <w:p w:rsidR="006A4F9D" w:rsidRDefault="006A4F9D">
      <w:pPr>
        <w:pStyle w:val="Nagwek4"/>
        <w:spacing w:line="240" w:lineRule="auto"/>
        <w:rPr>
          <w:rFonts w:eastAsia="Symbol" w:cs="Symbol"/>
          <w:sz w:val="26"/>
        </w:rPr>
      </w:pPr>
    </w:p>
    <w:p w:rsidR="006A4F9D" w:rsidRDefault="00034F6D">
      <w:pPr>
        <w:pStyle w:val="Nagwek4"/>
        <w:spacing w:line="240" w:lineRule="auto"/>
        <w:rPr>
          <w:rFonts w:eastAsia="Symbol" w:cs="Symbol"/>
        </w:rPr>
      </w:pPr>
      <w:r>
        <w:rPr>
          <w:rFonts w:eastAsia="Symbol" w:cs="Symbol"/>
        </w:rPr>
        <w:t>Część doświadczalna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19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51435</wp:posOffset>
                </wp:positionV>
                <wp:extent cx="1028700" cy="571500"/>
                <wp:effectExtent l="0" t="0" r="0" b="0"/>
                <wp:wrapNone/>
                <wp:docPr id="7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Tytuł, bold 14 pkt</w:t>
                            </w:r>
                          </w:p>
                          <w:p w:rsidR="006A4F9D" w:rsidRDefault="00034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Podtytuł, bold 13 pkt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7" o:spid="_x0000_s1032" type="#_x0000_t202" style="position:absolute;left:0;text-align:left;margin-left:-81pt;margin-top:4.05pt;width:81pt;height:45pt;z-index: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" stroked="f">
                <v:fill opacity="0"/>
                <v:textbox inset="7.25pt,3.65pt,7.25pt,3.65pt">
                  <w:txbxContent>
                    <w:p w:rsidR="006A4F9D" w:rsidRDefault="00034F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Tytuł, bold 14 pkt</w:t>
                      </w:r>
                    </w:p>
                    <w:p w:rsidR="006A4F9D" w:rsidRDefault="00034F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Podtytuł, bold 13 pkt</w:t>
                      </w:r>
                    </w:p>
                  </w:txbxContent>
                </v:textbox>
              </v:shape>
            </w:pict>
          </mc:Fallback>
        </mc:AlternateContent>
      </w:r>
    </w:p>
    <w:p w:rsidR="006A4F9D" w:rsidRDefault="00034F6D">
      <w:pPr>
        <w:jc w:val="both"/>
        <w:rPr>
          <w:b/>
          <w:sz w:val="26"/>
        </w:rPr>
      </w:pPr>
      <w:r>
        <w:rPr>
          <w:rFonts w:eastAsia="Symbol" w:cs="Symbol"/>
          <w:b/>
          <w:sz w:val="26"/>
        </w:rPr>
        <w:t>Surowce</w:t>
      </w:r>
    </w:p>
    <w:p w:rsidR="006A4F9D" w:rsidRDefault="00034F6D">
      <w:pPr>
        <w:jc w:val="both"/>
        <w:rPr>
          <w:sz w:val="26"/>
        </w:rPr>
      </w:pPr>
      <w:r>
        <w:rPr>
          <w:rFonts w:eastAsia="Symbol" w:cs="Symbol"/>
          <w:b/>
          <w:sz w:val="26"/>
        </w:rPr>
        <w:tab/>
      </w:r>
      <w:r>
        <w:rPr>
          <w:rFonts w:eastAsia="Symbol" w:cs="Symbol"/>
          <w:sz w:val="26"/>
        </w:rPr>
        <w:t xml:space="preserve">Zawiesiny absorpcyjne stosowane w badaniach procesu odsiarczania spalin otrzymywano poprzez lasowanie specjalnie przygotowanych odpadów flotacyjnych (tzw. prażonek dolomitowych z oczyszczalni ścieków) lub technicznego wapna palonego (prod. ZCh Rudniki), a następnie rozcieńczanie wodą i klasyfikację tak </w:t>
      </w:r>
      <w:r>
        <w:rPr>
          <w:rFonts w:eastAsia="Symbol" w:cs="Symbol"/>
          <w:sz w:val="26"/>
        </w:rPr>
        <w:lastRenderedPageBreak/>
        <w:t>uzyskanych produktów. Stosowano również dietanoloaminę cz.d.a., prod. Sigma-Aldrich oraz gazowy ditlenek siarki, prod. Azoty Tarnów SA.</w:t>
      </w:r>
    </w:p>
    <w:p w:rsidR="006A4F9D" w:rsidRDefault="006A4F9D">
      <w:pPr>
        <w:jc w:val="both"/>
        <w:rPr>
          <w:rFonts w:eastAsia="Symbol" w:cs="Symbol"/>
          <w:b/>
          <w:bCs/>
          <w:sz w:val="26"/>
        </w:rPr>
      </w:pPr>
    </w:p>
    <w:p w:rsidR="006A4F9D" w:rsidRDefault="00034F6D">
      <w:pPr>
        <w:pStyle w:val="Nagwek5"/>
        <w:spacing w:line="240" w:lineRule="auto"/>
        <w:rPr>
          <w:rFonts w:eastAsia="Symbol" w:cs="Symbol"/>
          <w:i w:val="0"/>
        </w:rPr>
      </w:pPr>
      <w:r>
        <w:rPr>
          <w:rFonts w:eastAsia="Symbol" w:cs="Symbol"/>
          <w:i w:val="0"/>
        </w:rPr>
        <w:t>Aparatura</w:t>
      </w:r>
    </w:p>
    <w:p w:rsidR="006A4F9D" w:rsidRDefault="00034F6D">
      <w:pPr>
        <w:ind w:firstLine="708"/>
        <w:jc w:val="both"/>
        <w:rPr>
          <w:sz w:val="26"/>
        </w:rPr>
      </w:pPr>
      <w:r>
        <w:rPr>
          <w:rFonts w:eastAsia="Symbol" w:cs="Symbol"/>
          <w:sz w:val="26"/>
        </w:rPr>
        <w:t xml:space="preserve">Badania procesu odsiarczania spalin metodą półsuchą przeprowadzono w wielkolaboratoryjnej instalacji badawczej przedstawionej na rys. 1. Zasadniczym elementem instalacji była kolumna rozpyłowa (1) umieszczona na zbiorniku (2). Kolumna ta wykonana była z czterech cylindrów szklanych o wysokości 500 mm i średnicy 300 mm każdy.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895985</wp:posOffset>
                </wp:positionV>
                <wp:extent cx="114300" cy="150495"/>
                <wp:effectExtent l="0" t="0" r="0" b="0"/>
                <wp:wrapNone/>
                <wp:docPr id="8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0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6A4F9D"/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8" o:spid="_x0000_s1033" type="#_x0000_t202" style="position:absolute;left:0;text-align:left;margin-left:-81pt;margin-top:70.55pt;width:9pt;height:11.85pt;z-index: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" stroked="f">
                <v:fill opacity="0"/>
                <v:textbox inset="7.25pt,3.65pt,7.25pt,3.65pt">
                  <w:txbxContent>
                    <w:p w:rsidR="006A4F9D" w:rsidRDefault="006A4F9D"/>
                  </w:txbxContent>
                </v:textbox>
              </v:shape>
            </w:pict>
          </mc:Fallback>
        </mc:AlternateContent>
      </w:r>
    </w:p>
    <w:p w:rsidR="006A4F9D" w:rsidRDefault="006A4F9D">
      <w:pPr>
        <w:rPr>
          <w:rFonts w:eastAsia="Symbol" w:cs="Symbol"/>
          <w:sz w:val="26"/>
        </w:rPr>
      </w:pPr>
    </w:p>
    <w:p w:rsidR="006A4F9D" w:rsidRDefault="00034F6D">
      <w:pPr>
        <w:jc w:val="both"/>
        <w:rPr>
          <w:rFonts w:eastAsia="Symbol" w:cs="Symbol"/>
          <w:b/>
          <w:sz w:val="26"/>
        </w:rPr>
      </w:pPr>
      <w:r>
        <w:rPr>
          <w:rFonts w:eastAsia="Symbol" w:cs="Symbol"/>
          <w:b/>
          <w:sz w:val="26"/>
        </w:rPr>
        <w:t>Metodyka badań</w:t>
      </w:r>
    </w:p>
    <w:p w:rsidR="006A4F9D" w:rsidRDefault="00034F6D">
      <w:pPr>
        <w:ind w:firstLine="708"/>
        <w:jc w:val="both"/>
        <w:rPr>
          <w:sz w:val="26"/>
        </w:rPr>
      </w:pPr>
      <w:r>
        <w:rPr>
          <w:rFonts w:eastAsia="Symbol" w:cs="Symbol"/>
          <w:sz w:val="26"/>
        </w:rPr>
        <w:t xml:space="preserve">W trakcie badań mierzono natężenia przepływu spalanego gazu, ditlenku siarki pobieranego z butli i wody podawanej do tacy, temperaturę i skład gazu wchodzącego do kolumny rozpyłowej oraz gazu opuszczającego kolumnę rozpyłową, natężenie przepływu i ciśnienie zawiesiny podawanej do dyszy rozpyłowej oraz wody podawanej ze zbiornika (7), natężenie przepływu i ciśnienie powietrza wprowadzanego do dyszy rozpyłowej oraz powietrza wprowadzanego do rury osłonowej a także natężenie przepływu gazu wyprowadzanego do komina (13). </w:t>
      </w:r>
    </w:p>
    <w:p w:rsidR="006A4F9D" w:rsidRDefault="006A4F9D">
      <w:pPr>
        <w:jc w:val="both"/>
        <w:rPr>
          <w:rFonts w:eastAsia="Symbol" w:cs="Symbol"/>
          <w:b/>
          <w:sz w:val="26"/>
        </w:rPr>
      </w:pPr>
    </w:p>
    <w:p w:rsidR="006A4F9D" w:rsidRDefault="00034F6D">
      <w:pPr>
        <w:jc w:val="both"/>
        <w:rPr>
          <w:sz w:val="26"/>
        </w:rPr>
      </w:pPr>
      <w:r>
        <w:rPr>
          <w:rFonts w:eastAsia="Symbol" w:cs="Symbol"/>
          <w:b/>
          <w:sz w:val="26"/>
        </w:rPr>
        <w:t>Metody analityczne</w:t>
      </w:r>
    </w:p>
    <w:p w:rsidR="006A4F9D" w:rsidRDefault="00034F6D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ab/>
        <w:t>Zawartość SO</w:t>
      </w:r>
      <w:r>
        <w:rPr>
          <w:rFonts w:eastAsia="Symbol" w:cs="Symbol"/>
          <w:sz w:val="26"/>
          <w:vertAlign w:val="subscript"/>
        </w:rPr>
        <w:t>2</w:t>
      </w:r>
      <w:r>
        <w:rPr>
          <w:rFonts w:eastAsia="Symbol" w:cs="Symbol"/>
          <w:sz w:val="26"/>
        </w:rPr>
        <w:t xml:space="preserve"> w spalinach oznaczano metodą chromatografii gazowej, stosując chromatograf typ GC 1 firmy Perkin Elmer.</w:t>
      </w:r>
    </w:p>
    <w:p w:rsidR="006A4F9D" w:rsidRDefault="006A4F9D">
      <w:pPr>
        <w:jc w:val="both"/>
        <w:rPr>
          <w:rFonts w:eastAsia="Symbol" w:cs="Symbol"/>
          <w:sz w:val="26"/>
        </w:rPr>
      </w:pPr>
    </w:p>
    <w:p w:rsidR="006A4F9D" w:rsidRDefault="00034F6D">
      <w:pPr>
        <w:jc w:val="both"/>
        <w:rPr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Omówienie wyników</w:t>
      </w:r>
    </w:p>
    <w:p w:rsidR="006A4F9D" w:rsidRDefault="00034F6D">
      <w:pPr>
        <w:ind w:firstLine="708"/>
        <w:jc w:val="both"/>
        <w:rPr>
          <w:sz w:val="26"/>
        </w:rPr>
      </w:pPr>
      <w:r>
        <w:rPr>
          <w:rFonts w:eastAsia="Symbol" w:cs="Symbol"/>
          <w:sz w:val="26"/>
        </w:rPr>
        <w:t>Wyniki badań procesu odsiarczania spalin przedstawiono w tabeli. Prażonki dolomitowe zastosowane do sporządzania zawiesin absorpcyjnych charakteryzowały się szerokim spektrum uziarnienia. Średnice podziałowe obydwu typów prażonek były zbliżone i ok. 2-krotnie większe od średnicy podziałowej ziaren wapna palonego. W porównaniu z klasycznym sorbentem stosowanym w instalacjach odsiarczania spalin metodą półsuchą prażonki dolomitowe należało więc uznać za materiał gruboziarnisty. W porównaniu z produktem lasowania wapna palonego stałe produkty lasowania prażonek dolomitowych wykazywały względnie duży udział frakcji grubej ziaren (powyżej 100 μm).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1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1179195</wp:posOffset>
                </wp:positionV>
                <wp:extent cx="914400" cy="685800"/>
                <wp:effectExtent l="0" t="0" r="0" b="0"/>
                <wp:wrapNone/>
                <wp:docPr id="9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r>
                              <w:t>Greckie litery – mi (mikro)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9" o:spid="_x0000_s1034" type="#_x0000_t202" style="position:absolute;left:0;text-align:left;margin-left:-81pt;margin-top:92.85pt;width:1in;height:54pt;z-index: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" stroked="f">
                <v:fill opacity="0"/>
                <v:textbox inset="7.25pt,3.65pt,7.25pt,3.65pt">
                  <w:txbxContent>
                    <w:p w:rsidR="006A4F9D" w:rsidRDefault="00034F6D">
                      <w:r>
                        <w:t>Greckie litery – mi (mikro)</w:t>
                      </w:r>
                    </w:p>
                  </w:txbxContent>
                </v:textbox>
              </v:shape>
            </w:pict>
          </mc:Fallback>
        </mc:AlternateContent>
      </w:r>
    </w:p>
    <w:p w:rsidR="006A4F9D" w:rsidRDefault="006A4F9D">
      <w:pPr>
        <w:jc w:val="both"/>
        <w:rPr>
          <w:rFonts w:eastAsia="Symbol" w:cs="Symbol"/>
          <w:b/>
          <w:sz w:val="26"/>
        </w:rPr>
      </w:pPr>
    </w:p>
    <w:p w:rsidR="006A4F9D" w:rsidRDefault="00034F6D">
      <w:pPr>
        <w:jc w:val="both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Podsumowanie</w:t>
      </w:r>
    </w:p>
    <w:p w:rsidR="006A4F9D" w:rsidRDefault="00034F6D">
      <w:pPr>
        <w:jc w:val="both"/>
        <w:rPr>
          <w:sz w:val="26"/>
        </w:rPr>
      </w:pPr>
      <w:r>
        <w:rPr>
          <w:rFonts w:eastAsia="Symbol" w:cs="Symbol"/>
          <w:b/>
          <w:sz w:val="26"/>
        </w:rPr>
        <w:tab/>
      </w:r>
      <w:r>
        <w:rPr>
          <w:rFonts w:eastAsia="Symbol" w:cs="Symbol"/>
          <w:sz w:val="26"/>
        </w:rPr>
        <w:t>Węglanowe odpady flotacyjne przemysłu metali nieżelaznych stanowią potencjalne źródło związków alkalicznych mogących znaleźć zastosowanie w wielu technologiach odsiarczania spalin. W pracy zbadano przydatność tego typu odpadów jako substytutu sorbentów stosowanych w półsuchej metodzie usuwania ditlenku siarki z gazów.</w:t>
      </w:r>
    </w:p>
    <w:p w:rsidR="006A4F9D" w:rsidRDefault="006A4F9D">
      <w:pPr>
        <w:pStyle w:val="Tekstpodstawowy3"/>
        <w:rPr>
          <w:rFonts w:eastAsia="Symbol" w:cs="Symbol"/>
        </w:rPr>
      </w:pPr>
    </w:p>
    <w:p w:rsidR="006A4F9D" w:rsidRDefault="00034F6D">
      <w:pPr>
        <w:pStyle w:val="Tekstpodstawowy3"/>
        <w:rPr>
          <w:rFonts w:eastAsia="Symbol" w:cs="Symbol"/>
        </w:rPr>
      </w:pPr>
      <w:r>
        <w:rPr>
          <w:rFonts w:eastAsia="Symbol" w:cs="Symbol"/>
        </w:rPr>
        <w:t xml:space="preserve">Praca wykonana w ramach projektu celowego zamawianego PCZ 02-20 „Gospodarcze wykorzystanie odpadów stałych powstających w przemyśle metali nieżelaznych”, finansowanego przez Komitet Badań Naukowych. </w:t>
      </w:r>
    </w:p>
    <w:p w:rsidR="006A4F9D" w:rsidRDefault="00034F6D">
      <w:pPr>
        <w:jc w:val="both"/>
        <w:rPr>
          <w:rFonts w:eastAsia="Symbol" w:cs="Symbol"/>
          <w:sz w:val="26"/>
        </w:rPr>
      </w:pPr>
      <w:r>
        <w:br w:type="page"/>
      </w:r>
    </w:p>
    <w:p w:rsidR="006A4F9D" w:rsidRDefault="00034F6D">
      <w:pPr>
        <w:jc w:val="center"/>
        <w:rPr>
          <w:rFonts w:eastAsia="Symbol" w:cs="Symbol"/>
          <w:sz w:val="26"/>
        </w:rPr>
      </w:pPr>
      <w:r>
        <w:rPr>
          <w:rFonts w:eastAsia="Symbol" w:cs="Symbol"/>
          <w:sz w:val="26"/>
        </w:rPr>
        <w:lastRenderedPageBreak/>
        <w:t>LITERATURA</w:t>
      </w:r>
    </w:p>
    <w:p w:rsidR="006A4F9D" w:rsidRDefault="00034F6D">
      <w:pPr>
        <w:jc w:val="both"/>
        <w:rPr>
          <w:rFonts w:eastAsia="Symbol" w:cs="Symbol"/>
          <w:sz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15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177165</wp:posOffset>
                </wp:positionV>
                <wp:extent cx="1028700" cy="571500"/>
                <wp:effectExtent l="0" t="0" r="0" b="0"/>
                <wp:wrapNone/>
                <wp:docPr id="10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r>
                              <w:t>Konferencja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0" o:spid="_x0000_s1035" type="#_x0000_t202" style="position:absolute;left:0;text-align:left;margin-left:-81pt;margin-top:13.95pt;width:81pt;height:45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" stroked="f">
                <v:fill opacity="0"/>
                <v:textbox inset="7.25pt,3.65pt,7.25pt,3.65pt">
                  <w:txbxContent>
                    <w:p w:rsidR="006A4F9D" w:rsidRDefault="00034F6D">
                      <w:r>
                        <w:t>Konferencja</w:t>
                      </w:r>
                    </w:p>
                  </w:txbxContent>
                </v:textbox>
              </v:shape>
            </w:pict>
          </mc:Fallback>
        </mc:AlternateContent>
      </w:r>
    </w:p>
    <w:p w:rsidR="006A4F9D" w:rsidRDefault="00034F6D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>[1] M. Ślusarek, K. Cichy, Mat. Międzynarodowej Konf. "Tendencje rozwojowe przemysłu cynkowo-ołowiowego", Szczyrk, 16–18 listopada 1998 r., 235.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1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558800</wp:posOffset>
                </wp:positionV>
                <wp:extent cx="1028700" cy="457200"/>
                <wp:effectExtent l="0" t="0" r="0" b="0"/>
                <wp:wrapNone/>
                <wp:docPr id="11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r>
                              <w:t>Publikacja w czasopiśmie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1" o:spid="_x0000_s1036" type="#_x0000_t202" style="position:absolute;left:0;text-align:left;margin-left:-81pt;margin-top:44pt;width:81pt;height:36pt;z-index: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" stroked="f">
                <v:fill opacity="0"/>
                <v:textbox inset="7.25pt,3.65pt,7.25pt,3.65pt">
                  <w:txbxContent>
                    <w:p w:rsidR="006A4F9D" w:rsidRDefault="00034F6D">
                      <w:r>
                        <w:t>Publikacja w czasopiśmie</w:t>
                      </w:r>
                    </w:p>
                  </w:txbxContent>
                </v:textbox>
              </v:shape>
            </w:pict>
          </mc:Fallback>
        </mc:AlternateContent>
      </w:r>
    </w:p>
    <w:p w:rsidR="006A4F9D" w:rsidRDefault="00034F6D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 xml:space="preserve">[2] A. Chmielarz, J. Mrozowski, W. Wasilewski, M. Jaschik, </w:t>
      </w:r>
      <w:r>
        <w:rPr>
          <w:rFonts w:eastAsia="Symbol" w:cs="Symbol"/>
          <w:i/>
          <w:sz w:val="26"/>
        </w:rPr>
        <w:t>Rudy i Metale Nieżelazne</w:t>
      </w:r>
      <w:r>
        <w:rPr>
          <w:rFonts w:eastAsia="Symbol" w:cs="Symbol"/>
          <w:sz w:val="26"/>
        </w:rPr>
        <w:t xml:space="preserve"> 2002, </w:t>
      </w:r>
      <w:r>
        <w:rPr>
          <w:rFonts w:eastAsia="Symbol" w:cs="Symbol"/>
          <w:b/>
          <w:sz w:val="26"/>
        </w:rPr>
        <w:t>47</w:t>
      </w:r>
      <w:r>
        <w:rPr>
          <w:rFonts w:eastAsia="Symbol" w:cs="Symbol"/>
          <w:sz w:val="26"/>
        </w:rPr>
        <w:t>, nr 5, 237.</w:t>
      </w:r>
    </w:p>
    <w:p w:rsidR="006A4F9D" w:rsidRDefault="00034F6D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>[3] E. Stós, A. Zajączkowski, W. Gębczyk, L. Adamkiewicz, J. Mrozowski, W. Wasilewski, Sprawozdanie Instytutu Metali Nieżelaznych w Gliwicach nr 5810/2001, Gliwice, maj 2001 r.</w:t>
      </w:r>
    </w:p>
    <w:p w:rsidR="006A4F9D" w:rsidRDefault="00034F6D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 xml:space="preserve">[4] J.S. Klingspor, </w:t>
      </w:r>
      <w:r>
        <w:rPr>
          <w:rFonts w:eastAsia="Symbol" w:cs="Symbol"/>
          <w:i/>
          <w:sz w:val="26"/>
        </w:rPr>
        <w:t>JAPCA</w:t>
      </w:r>
      <w:r>
        <w:rPr>
          <w:rFonts w:eastAsia="Symbol" w:cs="Symbol"/>
          <w:sz w:val="26"/>
        </w:rPr>
        <w:t xml:space="preserve"> 1987, </w:t>
      </w:r>
      <w:r>
        <w:rPr>
          <w:rFonts w:eastAsia="Symbol" w:cs="Symbol"/>
          <w:b/>
          <w:sz w:val="26"/>
        </w:rPr>
        <w:t>37</w:t>
      </w:r>
      <w:r>
        <w:rPr>
          <w:rFonts w:eastAsia="Symbol" w:cs="Symbol"/>
          <w:sz w:val="26"/>
        </w:rPr>
        <w:t>, 801.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17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144780</wp:posOffset>
                </wp:positionV>
                <wp:extent cx="1028700" cy="342900"/>
                <wp:effectExtent l="0" t="0" r="0" b="0"/>
                <wp:wrapNone/>
                <wp:docPr id="12" name="Ramk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r>
                              <w:t>Monografia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2" o:spid="_x0000_s1037" type="#_x0000_t202" style="position:absolute;left:0;text-align:left;margin-left:-81pt;margin-top:11.4pt;width:81pt;height:27pt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" stroked="f">
                <v:fill opacity="0"/>
                <v:textbox inset="7.25pt,3.65pt,7.25pt,3.65pt">
                  <w:txbxContent>
                    <w:p w:rsidR="006A4F9D" w:rsidRDefault="00034F6D">
                      <w:r>
                        <w:t>Monografia</w:t>
                      </w:r>
                    </w:p>
                  </w:txbxContent>
                </v:textbox>
              </v:shape>
            </w:pict>
          </mc:Fallback>
        </mc:AlternateContent>
      </w:r>
    </w:p>
    <w:p w:rsidR="006A4F9D" w:rsidRDefault="00034F6D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 xml:space="preserve">[5] H. Jankowska, A. Świątkowski, J. Choma, </w:t>
      </w:r>
      <w:r>
        <w:rPr>
          <w:rFonts w:eastAsia="Symbol" w:cs="Symbol"/>
          <w:i/>
          <w:sz w:val="26"/>
        </w:rPr>
        <w:t>Węgiel aktywny</w:t>
      </w:r>
      <w:r>
        <w:rPr>
          <w:rFonts w:eastAsia="Symbol" w:cs="Symbol"/>
          <w:sz w:val="26"/>
        </w:rPr>
        <w:t>, WNT, Warszawa 1985 r.</w:t>
      </w:r>
    </w:p>
    <w:p w:rsidR="006A4F9D" w:rsidRDefault="00034F6D">
      <w:pPr>
        <w:jc w:val="both"/>
        <w:rPr>
          <w:sz w:val="26"/>
        </w:rPr>
      </w:pPr>
      <w:r>
        <w:rPr>
          <w:rFonts w:eastAsia="Symbol" w:cs="Symbol"/>
          <w:sz w:val="26"/>
        </w:rPr>
        <w:t xml:space="preserve">[6] J. Kowalski, </w:t>
      </w:r>
      <w:r>
        <w:rPr>
          <w:rFonts w:eastAsia="Symbol" w:cs="Symbol"/>
          <w:i/>
          <w:iCs/>
          <w:sz w:val="26"/>
        </w:rPr>
        <w:t>Polimeryzacja rodnikowa</w:t>
      </w:r>
      <w:r>
        <w:rPr>
          <w:rFonts w:eastAsia="Symbol" w:cs="Symbol"/>
          <w:sz w:val="26"/>
        </w:rPr>
        <w:t>, praca doktorska, Instytut Chemii Przemysłowej, Warszawa 2001 r.</w:t>
      </w:r>
    </w:p>
    <w:p w:rsidR="006A4F9D" w:rsidRDefault="00034F6D">
      <w:pPr>
        <w:jc w:val="both"/>
        <w:rPr>
          <w:sz w:val="26"/>
        </w:rPr>
      </w:pPr>
      <w:r>
        <w:rPr>
          <w:rFonts w:eastAsia="Symbol" w:cs="Symbol"/>
          <w:sz w:val="26"/>
        </w:rPr>
        <w:t>[7] Gryfskan Sp. z o.o., Hajnówka, Prospekt firmowy.</w:t>
      </w:r>
    </w:p>
    <w:p w:rsidR="006A4F9D" w:rsidRDefault="00034F6D">
      <w:pPr>
        <w:jc w:val="both"/>
        <w:rPr>
          <w:sz w:val="26"/>
        </w:rPr>
      </w:pPr>
      <w:r>
        <w:rPr>
          <w:rFonts w:eastAsia="Symbol" w:cs="Symbol"/>
          <w:sz w:val="26"/>
        </w:rPr>
        <w:t>[8]</w:t>
      </w:r>
      <w:r>
        <w:rPr>
          <w:rFonts w:eastAsia="Symbol" w:cs="Symbol"/>
          <w:i/>
          <w:sz w:val="26"/>
        </w:rPr>
        <w:t xml:space="preserve"> Zgł. pat. pol.</w:t>
      </w:r>
      <w:r>
        <w:rPr>
          <w:rFonts w:eastAsia="Symbol" w:cs="Symbol"/>
          <w:sz w:val="26"/>
        </w:rPr>
        <w:t xml:space="preserve"> P-344 539 (2000).</w:t>
      </w:r>
    </w:p>
    <w:p w:rsidR="006A4F9D" w:rsidRDefault="00034F6D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>[9]</w:t>
      </w:r>
      <w:r>
        <w:rPr>
          <w:rFonts w:eastAsia="Symbol" w:cs="Symbol"/>
          <w:i/>
          <w:sz w:val="26"/>
        </w:rPr>
        <w:t xml:space="preserve"> Pat. </w:t>
      </w:r>
      <w:r>
        <w:rPr>
          <w:rFonts w:eastAsia="Symbol" w:cs="Symbol"/>
          <w:i/>
          <w:sz w:val="26"/>
          <w:lang w:val="es-ES"/>
        </w:rPr>
        <w:t>USA</w:t>
      </w:r>
      <w:r>
        <w:rPr>
          <w:rFonts w:eastAsia="Symbol" w:cs="Symbol"/>
          <w:sz w:val="26"/>
          <w:lang w:val="es-ES"/>
        </w:rPr>
        <w:t xml:space="preserve"> 2 931 834 (1960).</w:t>
      </w:r>
    </w:p>
    <w:p w:rsidR="006A4F9D" w:rsidRDefault="00034F6D">
      <w:pPr>
        <w:jc w:val="both"/>
        <w:rPr>
          <w:sz w:val="26"/>
          <w:lang w:val="es-ES"/>
        </w:rPr>
      </w:pPr>
      <w:r>
        <w:rPr>
          <w:rFonts w:eastAsia="Symbol" w:cs="Symbol"/>
          <w:sz w:val="26"/>
          <w:lang w:val="es-ES"/>
        </w:rPr>
        <w:t xml:space="preserve">[10] </w:t>
      </w:r>
      <w:r>
        <w:rPr>
          <w:rFonts w:eastAsia="Symbol" w:cs="Symbol"/>
          <w:sz w:val="24"/>
          <w:szCs w:val="24"/>
          <w:u w:val="single" w:color="FFFFFF"/>
          <w:lang w:val="es-ES"/>
        </w:rPr>
        <w:t>http://www.spirulina.pl</w:t>
      </w:r>
      <w:r>
        <w:rPr>
          <w:rFonts w:eastAsia="Symbol" w:cs="Symbol"/>
          <w:sz w:val="24"/>
          <w:szCs w:val="24"/>
          <w:lang w:val="es-ES"/>
        </w:rPr>
        <w:t>, dostęp 15 marca 2013 r.</w:t>
      </w:r>
    </w:p>
    <w:p w:rsidR="006A4F9D" w:rsidRDefault="00034F6D">
      <w:pPr>
        <w:jc w:val="both"/>
        <w:rPr>
          <w:color w:val="000000"/>
          <w:sz w:val="24"/>
          <w:szCs w:val="24"/>
          <w:lang w:val="en-US"/>
        </w:rPr>
      </w:pPr>
      <w:r>
        <w:rPr>
          <w:rFonts w:eastAsia="Symbol" w:cs="Symbol"/>
          <w:sz w:val="26"/>
          <w:lang w:val="en-US"/>
        </w:rPr>
        <w:t xml:space="preserve">[11] DOI: </w:t>
      </w:r>
      <w:hyperlink r:id="rId7" w:tgtFrame="_blank">
        <w:r>
          <w:rPr>
            <w:rStyle w:val="czeinternetowe"/>
            <w:rFonts w:eastAsia="Symbol" w:cs="Symbol"/>
            <w:color w:val="000000"/>
            <w:sz w:val="24"/>
            <w:szCs w:val="24"/>
            <w:u w:val="none"/>
            <w:lang w:val="en-US"/>
          </w:rPr>
          <w:t>10.14314/polimery.2016.031</w:t>
        </w:r>
      </w:hyperlink>
    </w:p>
    <w:p w:rsidR="006A4F9D" w:rsidRDefault="006A4F9D">
      <w:pPr>
        <w:jc w:val="both"/>
        <w:rPr>
          <w:rFonts w:eastAsia="Symbol" w:cs="Symbol"/>
          <w:color w:val="000000"/>
          <w:sz w:val="26"/>
          <w:szCs w:val="24"/>
          <w:lang w:val="en-US"/>
        </w:rPr>
      </w:pPr>
    </w:p>
    <w:p w:rsidR="006A4F9D" w:rsidRDefault="006A4F9D">
      <w:pPr>
        <w:jc w:val="both"/>
        <w:rPr>
          <w:rFonts w:eastAsia="Symbol" w:cs="Symbol"/>
          <w:sz w:val="26"/>
          <w:lang w:val="en-US"/>
        </w:rPr>
      </w:pPr>
    </w:p>
    <w:p w:rsidR="006A4F9D" w:rsidRDefault="006A4F9D">
      <w:pPr>
        <w:jc w:val="both"/>
        <w:rPr>
          <w:rFonts w:eastAsia="Symbol" w:cs="Symbol"/>
          <w:sz w:val="26"/>
          <w:lang w:val="en-US"/>
        </w:rPr>
      </w:pPr>
    </w:p>
    <w:p w:rsidR="006A4F9D" w:rsidRDefault="006A4F9D">
      <w:pPr>
        <w:jc w:val="both"/>
        <w:rPr>
          <w:rFonts w:eastAsia="Symbol" w:cs="Symbol"/>
          <w:sz w:val="26"/>
          <w:lang w:val="en-US"/>
        </w:rPr>
      </w:pPr>
    </w:p>
    <w:p w:rsidR="006A4F9D" w:rsidRDefault="00034F6D">
      <w:pPr>
        <w:rPr>
          <w:i/>
          <w:sz w:val="26"/>
          <w:szCs w:val="26"/>
          <w:lang w:val="en-US"/>
        </w:rPr>
      </w:pPr>
      <w:r>
        <w:rPr>
          <w:rFonts w:eastAsia="Symbol" w:cs="Symbol"/>
          <w:i/>
          <w:sz w:val="26"/>
          <w:szCs w:val="26"/>
          <w:lang w:val="en-US"/>
        </w:rPr>
        <w:t>Table. Progress of glycerol hydrochlorination</w:t>
      </w:r>
    </w:p>
    <w:p w:rsidR="006A4F9D" w:rsidRDefault="00034F6D">
      <w:pPr>
        <w:pStyle w:val="Nagwek2"/>
        <w:spacing w:line="240" w:lineRule="auto"/>
        <w:ind w:firstLine="0"/>
        <w:rPr>
          <w:rFonts w:eastAsia="Symbol" w:cs="Symbol"/>
        </w:rPr>
      </w:pPr>
      <w:r>
        <w:rPr>
          <w:rFonts w:eastAsia="Symbol" w:cs="Symbol"/>
          <w:b w:val="0"/>
        </w:rPr>
        <w:t>Tabela. Przebieg reakcji chlorowodorowania glicerolu</w:t>
      </w:r>
    </w:p>
    <w:p w:rsidR="006A4F9D" w:rsidRDefault="006A4F9D">
      <w:pPr>
        <w:ind w:left="1418" w:hanging="1418"/>
        <w:rPr>
          <w:rFonts w:eastAsia="Symbol" w:cs="Symbol"/>
          <w:b/>
          <w:sz w:val="24"/>
          <w:szCs w:val="24"/>
        </w:rPr>
      </w:pPr>
    </w:p>
    <w:tbl>
      <w:tblPr>
        <w:tblW w:w="9018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1003"/>
        <w:gridCol w:w="1623"/>
        <w:gridCol w:w="1552"/>
        <w:gridCol w:w="1465"/>
        <w:gridCol w:w="939"/>
        <w:gridCol w:w="876"/>
        <w:gridCol w:w="1560"/>
      </w:tblGrid>
      <w:tr w:rsidR="006A4F9D">
        <w:trPr>
          <w:cantSplit/>
          <w:trHeight w:val="330"/>
        </w:trPr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Numer reaktora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Przepływ gazowego chlorowodoru,</w:t>
            </w:r>
          </w:p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g/h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pStyle w:val="Tretekstu"/>
              <w:spacing w:line="240" w:lineRule="auto"/>
              <w:jc w:val="center"/>
              <w:rPr>
                <w:rFonts w:eastAsia="Symbol" w:cs="Symbol"/>
                <w:szCs w:val="24"/>
              </w:rPr>
            </w:pPr>
            <w:r>
              <w:rPr>
                <w:rFonts w:eastAsia="Symbol" w:cs="Symbol"/>
                <w:szCs w:val="24"/>
              </w:rPr>
              <w:t>Przepływ ciekłej</w:t>
            </w:r>
          </w:p>
          <w:p w:rsidR="006A4F9D" w:rsidRDefault="00034F6D">
            <w:pPr>
              <w:pStyle w:val="Tretekstu"/>
              <w:spacing w:line="240" w:lineRule="auto"/>
              <w:jc w:val="center"/>
              <w:rPr>
                <w:rFonts w:eastAsia="Symbol" w:cs="Symbol"/>
                <w:szCs w:val="24"/>
              </w:rPr>
            </w:pPr>
            <w:r>
              <w:rPr>
                <w:rFonts w:eastAsia="Symbol" w:cs="Symbol"/>
                <w:szCs w:val="24"/>
              </w:rPr>
              <w:t>mieszaniny,</w:t>
            </w:r>
          </w:p>
          <w:p w:rsidR="006A4F9D" w:rsidRDefault="00034F6D">
            <w:pPr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  <w:sz w:val="24"/>
                <w:szCs w:val="24"/>
              </w:rPr>
              <w:t>cm</w:t>
            </w:r>
            <w:r>
              <w:rPr>
                <w:rFonts w:eastAsia="Symbol" w:cs="Symbol"/>
                <w:sz w:val="24"/>
                <w:szCs w:val="24"/>
                <w:vertAlign w:val="superscript"/>
              </w:rPr>
              <w:t>3</w:t>
            </w:r>
            <w:r>
              <w:rPr>
                <w:rFonts w:eastAsia="Symbol" w:cs="Symbol"/>
                <w:sz w:val="24"/>
                <w:szCs w:val="24"/>
              </w:rPr>
              <w:t>/h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Gęstość ciekłej mieszaniny,</w:t>
            </w:r>
          </w:p>
          <w:p w:rsidR="006A4F9D" w:rsidRDefault="00034F6D">
            <w:pPr>
              <w:jc w:val="center"/>
              <w:rPr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g/cm</w:t>
            </w:r>
            <w:r>
              <w:rPr>
                <w:rFonts w:eastAsia="Symbol" w:cs="Symbo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pStyle w:val="Tekstpodstawowy2"/>
              <w:jc w:val="center"/>
              <w:rPr>
                <w:rFonts w:eastAsia="Symbol" w:cs="Symbol"/>
                <w:b w:val="0"/>
                <w:i w:val="0"/>
                <w:szCs w:val="24"/>
              </w:rPr>
            </w:pPr>
            <w:r>
              <w:rPr>
                <w:rFonts w:eastAsia="Symbol" w:cs="Symbol"/>
                <w:b w:val="0"/>
                <w:i w:val="0"/>
                <w:szCs w:val="24"/>
              </w:rPr>
              <w:t>Masa, g</w:t>
            </w:r>
          </w:p>
        </w:tc>
      </w:tr>
      <w:tr w:rsidR="006A4F9D">
        <w:trPr>
          <w:cantSplit/>
          <w:trHeight w:val="737"/>
        </w:trPr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6A4F9D">
            <w:pPr>
              <w:snapToGrid w:val="0"/>
              <w:jc w:val="center"/>
              <w:rPr>
                <w:rFonts w:eastAsia="Symbol" w:cs="Symbol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6A4F9D">
            <w:pPr>
              <w:snapToGrid w:val="0"/>
              <w:jc w:val="center"/>
              <w:rPr>
                <w:rFonts w:eastAsia="Symbol" w:cs="Symbol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6A4F9D">
            <w:pPr>
              <w:pStyle w:val="Tretekstu"/>
              <w:snapToGrid w:val="0"/>
              <w:spacing w:line="240" w:lineRule="auto"/>
              <w:jc w:val="center"/>
              <w:rPr>
                <w:rFonts w:eastAsia="Symbol" w:cs="Symbol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6A4F9D">
            <w:pPr>
              <w:snapToGrid w:val="0"/>
              <w:jc w:val="center"/>
              <w:rPr>
                <w:rFonts w:eastAsia="Symbol" w:cs="Symbo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6A4F9D">
            <w:pPr>
              <w:pStyle w:val="Tretekstu"/>
              <w:snapToGrid w:val="0"/>
              <w:spacing w:line="240" w:lineRule="auto"/>
              <w:jc w:val="center"/>
              <w:rPr>
                <w:rFonts w:eastAsia="Symbol" w:cs="Symbol"/>
                <w:szCs w:val="24"/>
              </w:rPr>
            </w:pPr>
          </w:p>
          <w:p w:rsidR="006A4F9D" w:rsidRDefault="00034F6D">
            <w:pPr>
              <w:pStyle w:val="Tretekstu"/>
              <w:spacing w:line="240" w:lineRule="auto"/>
              <w:jc w:val="center"/>
              <w:rPr>
                <w:rFonts w:eastAsia="Symbol" w:cs="Symbol"/>
                <w:szCs w:val="24"/>
              </w:rPr>
            </w:pPr>
            <w:r>
              <w:rPr>
                <w:rFonts w:eastAsia="Symbol" w:cs="Symbol"/>
                <w:szCs w:val="24"/>
              </w:rPr>
              <w:t>destylat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6A4F9D">
            <w:pPr>
              <w:snapToGrid w:val="0"/>
              <w:jc w:val="center"/>
              <w:rPr>
                <w:rFonts w:eastAsia="Symbol" w:cs="Symbol"/>
                <w:sz w:val="24"/>
                <w:szCs w:val="24"/>
              </w:rPr>
            </w:pPr>
          </w:p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wywar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pStyle w:val="Tekstpodstawowy2"/>
              <w:jc w:val="center"/>
              <w:rPr>
                <w:rFonts w:eastAsia="Symbol" w:cs="Symbol"/>
                <w:b w:val="0"/>
                <w:i w:val="0"/>
                <w:szCs w:val="24"/>
              </w:rPr>
            </w:pPr>
            <w:r>
              <w:rPr>
                <w:rFonts w:eastAsia="Symbol" w:cs="Symbol"/>
                <w:b w:val="0"/>
                <w:i w:val="0"/>
                <w:szCs w:val="24"/>
              </w:rPr>
              <w:t xml:space="preserve">chlorowodór </w:t>
            </w:r>
            <w:r>
              <w:rPr>
                <w:rFonts w:eastAsia="Symbol" w:cs="Symbol"/>
                <w:b w:val="0"/>
                <w:i w:val="0"/>
                <w:szCs w:val="24"/>
              </w:rPr>
              <w:br/>
              <w:t>w płuczce</w:t>
            </w:r>
          </w:p>
        </w:tc>
      </w:tr>
      <w:tr w:rsidR="006A4F9D">
        <w:trPr>
          <w:trHeight w:val="239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60,3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83,2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1,235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39,3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116,2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9,0</w:t>
            </w:r>
          </w:p>
        </w:tc>
      </w:tr>
      <w:tr w:rsidR="006A4F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30,0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87,4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1,298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28,48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115,14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7,8</w:t>
            </w:r>
          </w:p>
        </w:tc>
      </w:tr>
      <w:tr w:rsidR="006A4F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86,2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1,320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16,87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111,62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9,0</w:t>
            </w:r>
          </w:p>
        </w:tc>
      </w:tr>
      <w:tr w:rsidR="006A4F9D">
        <w:trPr>
          <w:trHeight w:val="243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15,0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86,7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1,339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112,20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A4F9D" w:rsidRDefault="00034F6D">
            <w:pPr>
              <w:jc w:val="center"/>
              <w:rPr>
                <w:rFonts w:eastAsia="Symbol" w:cs="Symbol"/>
                <w:sz w:val="24"/>
                <w:szCs w:val="24"/>
              </w:rPr>
            </w:pPr>
            <w:r>
              <w:rPr>
                <w:rFonts w:eastAsia="Symbol" w:cs="Symbol"/>
                <w:sz w:val="24"/>
                <w:szCs w:val="24"/>
              </w:rPr>
              <w:t>13,5</w:t>
            </w:r>
          </w:p>
        </w:tc>
      </w:tr>
    </w:tbl>
    <w:p w:rsidR="006A4F9D" w:rsidRDefault="00034F6D">
      <w:pPr>
        <w:jc w:val="both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Gęstość mieszaniny poreakcyjnej po 4 stopniu kaskady, </w:t>
      </w:r>
      <w:r>
        <w:rPr>
          <w:rFonts w:eastAsia="Symbol" w:cs="Symbol"/>
          <w:i/>
          <w:iCs/>
          <w:sz w:val="22"/>
          <w:szCs w:val="22"/>
        </w:rPr>
        <w:t>d</w:t>
      </w:r>
      <w:r>
        <w:rPr>
          <w:rFonts w:eastAsia="Symbol" w:cs="Symbol"/>
          <w:sz w:val="22"/>
          <w:szCs w:val="22"/>
          <w:vertAlign w:val="subscript"/>
        </w:rPr>
        <w:t>20</w:t>
      </w:r>
      <w:r>
        <w:rPr>
          <w:rFonts w:eastAsia="Symbol" w:cs="Symbol"/>
          <w:sz w:val="22"/>
          <w:szCs w:val="22"/>
        </w:rPr>
        <w:t xml:space="preserve"> = 1,344 g/cm</w:t>
      </w:r>
      <w:r>
        <w:rPr>
          <w:rFonts w:eastAsia="Symbol" w:cs="Symbol"/>
          <w:sz w:val="22"/>
          <w:szCs w:val="22"/>
          <w:vertAlign w:val="superscript"/>
        </w:rPr>
        <w:t>3</w:t>
      </w:r>
    </w:p>
    <w:p w:rsidR="006A4F9D" w:rsidRDefault="006A4F9D">
      <w:pPr>
        <w:rPr>
          <w:rFonts w:eastAsia="Symbol" w:cs="Symbol"/>
          <w:sz w:val="26"/>
          <w:szCs w:val="22"/>
        </w:rPr>
      </w:pPr>
    </w:p>
    <w:p w:rsidR="006A4F9D" w:rsidRDefault="00034F6D">
      <w:pPr>
        <w:rPr>
          <w:rFonts w:eastAsia="Symbol" w:cs="Symbol"/>
          <w:sz w:val="26"/>
        </w:rPr>
      </w:pPr>
      <w:r>
        <w:rPr>
          <w:rFonts w:eastAsia="Symbol" w:cs="Symbol"/>
          <w:sz w:val="26"/>
        </w:rPr>
        <w:t>(jednostki w główce tabeli po przecinkach)</w:t>
      </w:r>
    </w:p>
    <w:p w:rsidR="006A4F9D" w:rsidRDefault="006A4F9D">
      <w:pPr>
        <w:jc w:val="both"/>
        <w:rPr>
          <w:rFonts w:eastAsia="Symbol" w:cs="Symbol"/>
          <w:sz w:val="26"/>
        </w:rPr>
      </w:pPr>
    </w:p>
    <w:p w:rsidR="006A4F9D" w:rsidRDefault="006A4F9D">
      <w:pPr>
        <w:jc w:val="both"/>
        <w:rPr>
          <w:rFonts w:eastAsia="Symbol" w:cs="Symbol"/>
          <w:sz w:val="26"/>
        </w:rPr>
      </w:pPr>
    </w:p>
    <w:p w:rsidR="006A4F9D" w:rsidRDefault="006A4F9D">
      <w:pPr>
        <w:jc w:val="both"/>
        <w:rPr>
          <w:rFonts w:eastAsia="Symbol" w:cs="Symbol"/>
          <w:sz w:val="26"/>
        </w:rPr>
      </w:pPr>
    </w:p>
    <w:p w:rsidR="006A4F9D" w:rsidRDefault="006A4F9D">
      <w:pPr>
        <w:jc w:val="both"/>
        <w:rPr>
          <w:rFonts w:eastAsia="Symbol" w:cs="Symbol"/>
          <w:sz w:val="26"/>
        </w:rPr>
      </w:pPr>
    </w:p>
    <w:p w:rsidR="006A4F9D" w:rsidRDefault="00034F6D">
      <w:pPr>
        <w:pStyle w:val="Nagwek3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  <w:t>Podpisy pod rysunkami</w:t>
      </w:r>
    </w:p>
    <w:p w:rsidR="006A4F9D" w:rsidRDefault="006A4F9D">
      <w:pPr>
        <w:jc w:val="both"/>
        <w:rPr>
          <w:rFonts w:eastAsia="Symbol" w:cs="Symbol"/>
          <w:sz w:val="26"/>
          <w:lang w:val="en-US"/>
        </w:rPr>
      </w:pPr>
    </w:p>
    <w:p w:rsidR="006A4F9D" w:rsidRDefault="00034F6D">
      <w:pPr>
        <w:pStyle w:val="Tekstpodstawowy3"/>
        <w:rPr>
          <w:rFonts w:eastAsia="Symbol" w:cs="Symbol"/>
          <w:lang w:val="en-US"/>
        </w:rPr>
      </w:pPr>
      <w:r>
        <w:rPr>
          <w:rFonts w:eastAsia="Symbol" w:cs="Symbol"/>
          <w:lang w:val="en-US"/>
        </w:rPr>
        <w:t>Fig. Particle size distribution of the sorbents used (● – flotation waste calcined with water, ▲ – flotation waste calcined without water , ○ – quicklime)</w:t>
      </w:r>
    </w:p>
    <w:p w:rsidR="006A4F9D" w:rsidRDefault="00034F6D">
      <w:pPr>
        <w:jc w:val="both"/>
        <w:rPr>
          <w:rFonts w:eastAsia="Symbol" w:cs="Symbol"/>
        </w:rPr>
      </w:pPr>
      <w:r>
        <w:rPr>
          <w:rFonts w:eastAsia="Symbol" w:cs="Symbol"/>
          <w:sz w:val="26"/>
        </w:rPr>
        <w:t>Rys. Skład ziarnowy stosowanych sorbentów (● – prażonka z wodą, ▲ – prażonka bez wody, ○ – wapno palone)</w:t>
      </w:r>
    </w:p>
    <w:p w:rsidR="006A4F9D" w:rsidRDefault="00034F6D">
      <w:pPr>
        <w:jc w:val="both"/>
        <w:rPr>
          <w:rFonts w:eastAsia="Symbol" w:cs="Symbol"/>
          <w:sz w:val="26"/>
        </w:rPr>
      </w:pPr>
      <w:r>
        <w:br w:type="page"/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1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1952625</wp:posOffset>
                </wp:positionV>
                <wp:extent cx="2514600" cy="228600"/>
                <wp:effectExtent l="0" t="0" r="0" b="0"/>
                <wp:wrapNone/>
                <wp:docPr id="13" name="Ramk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PUBLIKACJA WZORCOWA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3" o:spid="_x0000_s1038" type="#_x0000_t202" style="position:absolute;left:0;text-align:left;margin-left:306pt;margin-top:153.75pt;width:198pt;height:18pt;z-index: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" stroked="f">
                <v:fill opacity="0"/>
                <v:textbox inset="7.25pt,3.65pt,7.25pt,3.65pt">
                  <w:txbxContent>
                    <w:p w:rsidR="006A4F9D" w:rsidRDefault="00034F6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PUBLIKACJA WZORCOWA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1952625</wp:posOffset>
                </wp:positionV>
                <wp:extent cx="2514600" cy="228600"/>
                <wp:effectExtent l="0" t="0" r="0" b="0"/>
                <wp:wrapNone/>
                <wp:docPr id="14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PUBLIKACJA WZORCOWA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4" o:spid="_x0000_s1039" type="#_x0000_t202" style="position:absolute;left:0;text-align:left;margin-left:-81pt;margin-top:153.75pt;width:198pt;height:18pt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" stroked="f">
                <v:fill opacity="0"/>
                <v:textbox inset="7.25pt,3.65pt,7.25pt,3.65pt">
                  <w:txbxContent>
                    <w:p w:rsidR="006A4F9D" w:rsidRDefault="00034F6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PUBLIKACJA WZORCOWA</w:t>
                      </w:r>
                    </w:p>
                  </w:txbxContent>
                </v:textbox>
              </v:shape>
            </w:pict>
          </mc:Fallback>
        </mc:AlternateContent>
      </w:r>
    </w:p>
    <w:p w:rsidR="006A4F9D" w:rsidRDefault="00034F6D">
      <w:pPr>
        <w:jc w:val="both"/>
        <w:rPr>
          <w:sz w:val="26"/>
        </w:rPr>
      </w:pPr>
      <w:r>
        <w:rPr>
          <w:rFonts w:eastAsia="Symbol" w:cs="Symbol"/>
          <w:sz w:val="26"/>
        </w:rPr>
        <w:lastRenderedPageBreak/>
        <w:t>R</w:t>
      </w:r>
      <w:r>
        <w:rPr>
          <w:rFonts w:eastAsia="Symbol" w:cs="Symbol"/>
          <w:sz w:val="26"/>
        </w:rPr>
        <w:object w:dxaOrig="8625" w:dyaOrig="5040">
          <v:shape id="ole_rId3" o:spid="_x0000_i1025" style="width:431.25pt;height:252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xcel.Sheet.12" ShapeID="ole_rId3" DrawAspect="Content" ObjectID="_1552851234" r:id="rId9"/>
        </w:object>
      </w:r>
      <w:r>
        <w:rPr>
          <w:rFonts w:eastAsia="Symbol" w:cs="Symbol"/>
          <w:sz w:val="26"/>
        </w:rPr>
        <w:t>ys.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3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-4222750</wp:posOffset>
                </wp:positionV>
                <wp:extent cx="2514600" cy="228600"/>
                <wp:effectExtent l="0" t="0" r="0" b="0"/>
                <wp:wrapNone/>
                <wp:docPr id="15" name="Ramk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PUBLIKACJA WZORCOWA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6" o:spid="_x0000_s1040" type="#_x0000_t202" style="position:absolute;left:0;text-align:left;margin-left:-81pt;margin-top:-332.5pt;width:198pt;height:18pt;z-index: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" stroked="f">
                <v:fill opacity="0"/>
                <v:textbox inset="7.25pt,3.65pt,7.25pt,3.65pt">
                  <w:txbxContent>
                    <w:p w:rsidR="006A4F9D" w:rsidRDefault="00034F6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PUBLIKACJA WZORCOWA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-4222750</wp:posOffset>
                </wp:positionV>
                <wp:extent cx="2514600" cy="228600"/>
                <wp:effectExtent l="0" t="0" r="0" b="0"/>
                <wp:wrapNone/>
                <wp:docPr id="16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A4F9D" w:rsidRDefault="00034F6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PUBLIKACJA WZORCOWA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5" o:spid="_x0000_s1041" type="#_x0000_t202" style="position:absolute;left:0;text-align:left;margin-left:324pt;margin-top:-332.5pt;width:198pt;height:18pt;z-index: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" stroked="f">
                <v:fill opacity="0"/>
                <v:textbox inset="7.25pt,3.65pt,7.25pt,3.65pt">
                  <w:txbxContent>
                    <w:p w:rsidR="006A4F9D" w:rsidRDefault="00034F6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PUBLIKACJA WZORCOWA</w:t>
                      </w:r>
                    </w:p>
                  </w:txbxContent>
                </v:textbox>
              </v:shape>
            </w:pict>
          </mc:Fallback>
        </mc:AlternateContent>
      </w:r>
    </w:p>
    <w:p w:rsidR="006A4F9D" w:rsidRDefault="00034F6D">
      <w:pPr>
        <w:jc w:val="both"/>
        <w:rPr>
          <w:sz w:val="26"/>
        </w:rPr>
      </w:pPr>
      <w:r>
        <w:rPr>
          <w:rFonts w:eastAsia="Symbol" w:cs="Symbol"/>
          <w:sz w:val="26"/>
        </w:rPr>
        <w:t xml:space="preserve">(jednostki na osiach po przecinkach; </w:t>
      </w:r>
      <w:r>
        <w:rPr>
          <w:rFonts w:eastAsia="Symbol" w:cs="Symbol"/>
          <w:b/>
          <w:sz w:val="26"/>
        </w:rPr>
        <w:t>rysunków nie wstawiać w dodatkowe ramki</w:t>
      </w:r>
      <w:r>
        <w:rPr>
          <w:rFonts w:eastAsia="Symbol" w:cs="Symbol"/>
          <w:sz w:val="26"/>
        </w:rPr>
        <w:t>)</w:t>
      </w:r>
    </w:p>
    <w:p w:rsidR="006A4F9D" w:rsidRDefault="006A4F9D">
      <w:pPr>
        <w:jc w:val="both"/>
        <w:rPr>
          <w:rFonts w:eastAsia="Symbol" w:cs="Symbol"/>
          <w:sz w:val="26"/>
        </w:rPr>
      </w:pPr>
    </w:p>
    <w:p w:rsidR="006A4F9D" w:rsidRDefault="006A4F9D">
      <w:pPr>
        <w:jc w:val="both"/>
        <w:rPr>
          <w:rFonts w:eastAsia="Symbol" w:cs="Symbol"/>
          <w:sz w:val="26"/>
        </w:rPr>
      </w:pPr>
    </w:p>
    <w:p w:rsidR="006A4F9D" w:rsidRDefault="006A4F9D">
      <w:pPr>
        <w:jc w:val="both"/>
        <w:rPr>
          <w:rFonts w:eastAsia="Symbol" w:cs="Symbol"/>
          <w:sz w:val="26"/>
        </w:rPr>
      </w:pPr>
    </w:p>
    <w:p w:rsidR="006A4F9D" w:rsidRDefault="006A4F9D">
      <w:pPr>
        <w:jc w:val="both"/>
        <w:rPr>
          <w:rFonts w:eastAsia="Symbol" w:cs="Symbol"/>
          <w:sz w:val="26"/>
        </w:rPr>
      </w:pPr>
    </w:p>
    <w:p w:rsidR="006A4F9D" w:rsidRDefault="00034F6D">
      <w:pPr>
        <w:jc w:val="both"/>
        <w:rPr>
          <w:rFonts w:eastAsia="Symbol" w:cs="Symbol"/>
          <w:sz w:val="26"/>
        </w:rPr>
      </w:pPr>
      <w:r>
        <w:rPr>
          <w:rFonts w:eastAsia="Symbol" w:cs="Symbol"/>
          <w:sz w:val="26"/>
        </w:rPr>
        <w:t>Wzór notki biograficznej:</w:t>
      </w:r>
    </w:p>
    <w:p w:rsidR="006A4F9D" w:rsidRDefault="006A4F9D">
      <w:pPr>
        <w:jc w:val="both"/>
        <w:rPr>
          <w:rFonts w:eastAsia="Symbol" w:cs="Symbol"/>
          <w:sz w:val="26"/>
        </w:rPr>
      </w:pPr>
    </w:p>
    <w:p w:rsidR="006A4F9D" w:rsidRDefault="00034F6D">
      <w:pPr>
        <w:jc w:val="both"/>
        <w:rPr>
          <w:rFonts w:eastAsia="Symbol" w:cs="Symbol"/>
        </w:rPr>
      </w:pPr>
      <w:r>
        <w:rPr>
          <w:rFonts w:eastAsia="Symbol" w:cs="Symbol"/>
          <w:sz w:val="26"/>
          <w:szCs w:val="26"/>
        </w:rPr>
        <w:t>Dr inż. Jan Kowalski w roku 1985 ukończył studia na Wydziale Chemicznym Politechniki Śląskiej w Gliwicach. W 1990 uzyskał stopień doktora nauk chemicznych na tym samym Wydziale. Jest adiunktem w Instytucie Inżynierii Chemicznej Polskiej Akademii Nauk w Gliwicach. Specjalność – inżynieria chemiczna i procesowa.</w:t>
      </w:r>
    </w:p>
    <w:sectPr w:rsidR="006A4F9D">
      <w:headerReference w:type="default" r:id="rId10"/>
      <w:footerReference w:type="default" r:id="rId11"/>
      <w:pgSz w:w="11906" w:h="16838"/>
      <w:pgMar w:top="765" w:right="1418" w:bottom="765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6B" w:rsidRDefault="001E016B">
      <w:r>
        <w:separator/>
      </w:r>
    </w:p>
  </w:endnote>
  <w:endnote w:type="continuationSeparator" w:id="0">
    <w:p w:rsidR="001E016B" w:rsidRDefault="001E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9D" w:rsidRDefault="00034F6D">
    <w:pPr>
      <w:pStyle w:val="Stopka"/>
      <w:rPr>
        <w:sz w:val="2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8" name="Ramka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A4F9D" w:rsidRDefault="00034F6D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379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7" o:spid="_x0000_s1042" type="#_x0000_t202" style="position:absolute;margin-left:0;margin-top:.05pt;width:5.05pt;height:11.55pt;z-index:25165619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" stroked="f">
              <v:fill opacity="0"/>
              <v:textbox>
                <w:txbxContent>
                  <w:p w:rsidR="006A4F9D" w:rsidRDefault="00034F6D">
                    <w:pPr>
                      <w:pStyle w:val="Stopka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379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6B" w:rsidRDefault="001E016B">
      <w:r>
        <w:separator/>
      </w:r>
    </w:p>
  </w:footnote>
  <w:footnote w:type="continuationSeparator" w:id="0">
    <w:p w:rsidR="001E016B" w:rsidRDefault="001E016B">
      <w:r>
        <w:continuationSeparator/>
      </w:r>
    </w:p>
  </w:footnote>
  <w:footnote w:id="1">
    <w:p w:rsidR="006A4F9D" w:rsidRDefault="00034F6D">
      <w:pPr>
        <w:pStyle w:val="Przypisdolny"/>
      </w:pPr>
      <w:r>
        <w:rPr>
          <w:rFonts w:eastAsia="Symbol" w:cs="Symbol"/>
        </w:rPr>
        <w:footnoteRef/>
      </w:r>
      <w:r>
        <w:rPr>
          <w:rFonts w:eastAsia="Symbol" w:cs="Symbol"/>
        </w:rPr>
        <w:tab/>
        <w:t xml:space="preserve">Autor do korespondencji: </w:t>
      </w:r>
      <w:r>
        <w:rPr>
          <w:rFonts w:eastAsia="Symbol" w:cs="Symbol"/>
          <w:color w:val="000000"/>
        </w:rPr>
        <w:t xml:space="preserve">Instytut Inżynierii Chemicznej Polskiej Akademii Nauk, ul. </w:t>
      </w:r>
      <w:r>
        <w:rPr>
          <w:rFonts w:eastAsia="Symbol" w:cs="Symbol"/>
          <w:color w:val="000000"/>
          <w:lang w:val="en-US"/>
        </w:rPr>
        <w:t>Bałtycka 5, 44-100 Gliwice, tel.: (32) 231-08-11, fax: (32) 231-03-18, e-mail: jan.kowalski@iim.gliwice.pl</w:t>
      </w:r>
      <w:r>
        <w:rPr>
          <w:rFonts w:ascii="Times New Roman" w:eastAsia="Symbol" w:hAnsi="Times New Roman" w:cs="Times New Roman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9D" w:rsidRDefault="00034F6D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25C0B" id="shapetype_136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ZBEaRhgMAAGw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1E016B">
      <w:pict>
        <v:shapetype id="shapetype_136" o:spid="_x0000_m2050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 w:rsidR="001E016B">
      <w:pict>
        <v:shape id="PowerPlusWaterMarkObject24590892" o:spid="_x0000_s2049" type="#shapetype_136" style="position:absolute;margin-left:0;margin-top:0;width:565.5pt;height:53.8pt;rotation:315;z-index:251659264;mso-position-horizontal:center;mso-position-horizontal-relative:margin;mso-position-vertical:center;mso-position-vertical-relative:margin" o:spt="100" adj="10800,,0" path="m@9,l@10,em@11,21600l@12,21600e" fillcolor="red" stroked="f" strokecolor="#3465a4">
          <v:fill opacity=".5" color2="aqua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Times New Roman&quot;" fitshape="t" string="PUBLIKACJA WZORCOWA"/>
          <v:handles>
            <v:h position="@0,center"/>
          </v:handles>
          <w10:wrap anchorx="margin" anchory="margin"/>
        </v:shape>
      </w:pict>
    </w:r>
    <w:r>
      <w:t>Cały tekst czcionka Times New Roman, 13 pkt, odstęp między wierszami 1</w:t>
    </w:r>
    <w:r>
      <w:rPr>
        <w:b/>
        <w:color w:val="FF0000"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31A7"/>
    <w:multiLevelType w:val="multilevel"/>
    <w:tmpl w:val="FD1847E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D"/>
    <w:rsid w:val="00034F6D"/>
    <w:rsid w:val="001379E1"/>
    <w:rsid w:val="001E016B"/>
    <w:rsid w:val="006A4F9D"/>
    <w:rsid w:val="00B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B576BCC-D932-42C5-B90F-DEC55C06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line="360" w:lineRule="auto"/>
      <w:ind w:firstLine="709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  <w:b w:val="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wcityZnak">
    <w:name w:val="Tekst podstawowy wcięty Znak"/>
    <w:qFormat/>
    <w:rPr>
      <w:rFonts w:cs="Times New Roman"/>
    </w:rPr>
  </w:style>
  <w:style w:type="character" w:customStyle="1" w:styleId="Tekstpodstawowywcity3Znak">
    <w:name w:val="Tekst podstawowy wcięty 3 Znak"/>
    <w:qFormat/>
    <w:rPr>
      <w:rFonts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cs="Times New Roman"/>
    </w:rPr>
  </w:style>
  <w:style w:type="character" w:customStyle="1" w:styleId="Tekstpodstawowywcity2Znak">
    <w:name w:val="Tekst podstawowy wcięty 2 Znak"/>
    <w:qFormat/>
    <w:rPr>
      <w:rFonts w:cs="Times New Roman"/>
    </w:rPr>
  </w:style>
  <w:style w:type="character" w:customStyle="1" w:styleId="TekstpodstawowyZnak">
    <w:name w:val="Tekst podstawowy Znak"/>
    <w:qFormat/>
    <w:rPr>
      <w:rFonts w:cs="Times New Roman"/>
    </w:rPr>
  </w:style>
  <w:style w:type="character" w:customStyle="1" w:styleId="NagwekZnak">
    <w:name w:val="Nagłówek Znak"/>
    <w:qFormat/>
    <w:rPr>
      <w:rFonts w:cs="Times New Roman"/>
    </w:rPr>
  </w:style>
  <w:style w:type="character" w:customStyle="1" w:styleId="Numerstron">
    <w:name w:val="Numer stron"/>
    <w:rPr>
      <w:rFonts w:cs="Times New Roman"/>
    </w:rPr>
  </w:style>
  <w:style w:type="character" w:customStyle="1" w:styleId="StopkaZnak">
    <w:name w:val="Stopka Znak"/>
    <w:qFormat/>
    <w:rPr>
      <w:rFonts w:cs="Times New Roman"/>
    </w:rPr>
  </w:style>
  <w:style w:type="character" w:customStyle="1" w:styleId="Tekstpodstawowy2Znak">
    <w:name w:val="Tekst podstawowy 2 Znak"/>
    <w:qFormat/>
    <w:rPr>
      <w:rFonts w:cs="Times New Roman"/>
    </w:rPr>
  </w:style>
  <w:style w:type="character" w:customStyle="1" w:styleId="Tekstpodstawowy3Znak">
    <w:name w:val="Tekst podstawowy 3 Znak"/>
    <w:qFormat/>
    <w:rPr>
      <w:rFonts w:cs="Times New Roman"/>
      <w:sz w:val="16"/>
      <w:szCs w:val="16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tabs>
        <w:tab w:val="left" w:pos="-1440"/>
        <w:tab w:val="left" w:pos="-720"/>
      </w:tabs>
      <w:suppressAutoHyphens/>
      <w:spacing w:line="360" w:lineRule="auto"/>
      <w:jc w:val="both"/>
    </w:pPr>
    <w:rPr>
      <w:spacing w:val="-3"/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spacing w:line="360" w:lineRule="auto"/>
      <w:ind w:firstLine="709"/>
      <w:jc w:val="both"/>
    </w:pPr>
    <w:rPr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851"/>
      <w:jc w:val="both"/>
    </w:pPr>
    <w:rPr>
      <w:sz w:val="24"/>
    </w:rPr>
  </w:style>
  <w:style w:type="paragraph" w:customStyle="1" w:styleId="Przypisdolny">
    <w:name w:val="Przypis dolny"/>
    <w:basedOn w:val="Normalny"/>
    <w:pPr>
      <w:widowControl w:val="0"/>
    </w:pPr>
    <w:rPr>
      <w:rFonts w:ascii="CG Times;Times New Roman" w:hAnsi="CG Times;Times New Roman" w:cs="CG Times;Times New Roman"/>
      <w:sz w:val="24"/>
    </w:rPr>
  </w:style>
  <w:style w:type="paragraph" w:styleId="Tekstpodstawowywcity2">
    <w:name w:val="Body Text Indent 2"/>
    <w:basedOn w:val="Normalny"/>
    <w:qFormat/>
    <w:pPr>
      <w:spacing w:line="360" w:lineRule="auto"/>
      <w:ind w:firstLine="360"/>
      <w:jc w:val="both"/>
    </w:pPr>
    <w:rPr>
      <w:sz w:val="24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jc w:val="both"/>
    </w:pPr>
    <w:rPr>
      <w:b/>
      <w:i/>
      <w:sz w:val="26"/>
    </w:rPr>
  </w:style>
  <w:style w:type="paragraph" w:styleId="Tekstpodstawowy3">
    <w:name w:val="Body Text 3"/>
    <w:basedOn w:val="Normalny"/>
    <w:qFormat/>
    <w:pPr>
      <w:jc w:val="both"/>
    </w:pPr>
    <w:rPr>
      <w:i/>
      <w:sz w:val="26"/>
    </w:rPr>
  </w:style>
  <w:style w:type="paragraph" w:styleId="Legenda">
    <w:name w:val="caption"/>
    <w:basedOn w:val="Normalny"/>
    <w:next w:val="Normalny"/>
    <w:qFormat/>
    <w:pPr>
      <w:keepNext/>
      <w:jc w:val="both"/>
    </w:pPr>
    <w:rPr>
      <w:sz w:val="26"/>
    </w:rPr>
  </w:style>
  <w:style w:type="paragraph" w:customStyle="1" w:styleId="Teksttabel">
    <w:name w:val="Tekst tabel"/>
    <w:basedOn w:val="Normalny"/>
    <w:qFormat/>
    <w:pPr>
      <w:jc w:val="center"/>
    </w:pPr>
    <w:rPr>
      <w:sz w:val="24"/>
    </w:rPr>
  </w:style>
  <w:style w:type="paragraph" w:customStyle="1" w:styleId="tekstpodtabel">
    <w:name w:val="tekst pod tabelą"/>
    <w:basedOn w:val="Teksttabel"/>
    <w:qFormat/>
    <w:pPr>
      <w:jc w:val="left"/>
    </w:p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4314/polimery.2016.0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Arkusz_programu_Microsoft_Excel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KOWALSKIa,, ANNA NOWAKa, ADAM ZIELIŃSKI</vt:lpstr>
    </vt:vector>
  </TitlesOfParts>
  <Company>Wydział Inżynieri Procesowej i Ochrony Środowska PŁ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KOWALSKIa,, ANNA NOWAKa, ADAM ZIELIŃSKI</dc:title>
  <dc:subject/>
  <dc:creator>Szyprowski Grzegorz - Partner Hurt TP</dc:creator>
  <dc:description/>
  <cp:lastModifiedBy>Jacek Stelmach</cp:lastModifiedBy>
  <cp:revision>2</cp:revision>
  <cp:lastPrinted>2016-02-27T16:33:00Z</cp:lastPrinted>
  <dcterms:created xsi:type="dcterms:W3CDTF">2017-04-04T20:47:00Z</dcterms:created>
  <dcterms:modified xsi:type="dcterms:W3CDTF">2017-04-04T20:47:00Z</dcterms:modified>
  <dc:language>pl-PL</dc:language>
</cp:coreProperties>
</file>